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88" w:rsidRDefault="00A95688" w:rsidP="00A95688">
      <w:pPr>
        <w:tabs>
          <w:tab w:val="left" w:pos="840"/>
        </w:tabs>
        <w:jc w:val="both"/>
        <w:rPr>
          <w:color w:val="000000"/>
          <w:sz w:val="20"/>
          <w:szCs w:val="20"/>
        </w:rPr>
      </w:pPr>
      <w:bookmarkStart w:id="0" w:name="_heading=h.gjdgxs" w:colFirst="0" w:colLast="0"/>
      <w:bookmarkEnd w:id="0"/>
      <w:r>
        <w:rPr>
          <w:noProof/>
          <w:color w:val="000000"/>
          <w:sz w:val="20"/>
          <w:szCs w:val="20"/>
        </w:rPr>
        <w:drawing>
          <wp:inline distT="0" distB="0" distL="0" distR="0" wp14:anchorId="364457B3" wp14:editId="76E541B8">
            <wp:extent cx="2441544" cy="61038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41544" cy="610386"/>
                    </a:xfrm>
                    <a:prstGeom prst="rect">
                      <a:avLst/>
                    </a:prstGeom>
                    <a:ln/>
                  </pic:spPr>
                </pic:pic>
              </a:graphicData>
            </a:graphic>
          </wp:inline>
        </w:drawing>
      </w:r>
      <w:r>
        <w:rPr>
          <w:color w:val="000000"/>
          <w:sz w:val="20"/>
          <w:szCs w:val="20"/>
        </w:rPr>
        <w:t xml:space="preserve">                                                                                                    </w:t>
      </w:r>
    </w:p>
    <w:p w:rsidR="00A95688" w:rsidRPr="00022886" w:rsidRDefault="00A95688" w:rsidP="00A95688">
      <w:pPr>
        <w:spacing w:line="259" w:lineRule="auto"/>
        <w:ind w:right="90"/>
        <w:jc w:val="both"/>
        <w:rPr>
          <w:rFonts w:eastAsia="Arial"/>
          <w:b/>
          <w:sz w:val="20"/>
          <w:szCs w:val="20"/>
        </w:rPr>
      </w:pPr>
      <w:r w:rsidRPr="00022886">
        <w:rPr>
          <w:rFonts w:eastAsia="Arial"/>
          <w:b/>
          <w:sz w:val="20"/>
          <w:szCs w:val="20"/>
        </w:rPr>
        <w:t xml:space="preserve">IT Service Support Associate </w:t>
      </w:r>
    </w:p>
    <w:p w:rsidR="00A95688" w:rsidRPr="00022886" w:rsidRDefault="00A95688" w:rsidP="00A95688">
      <w:pPr>
        <w:spacing w:line="259" w:lineRule="auto"/>
        <w:ind w:right="90"/>
        <w:jc w:val="both"/>
        <w:rPr>
          <w:rFonts w:eastAsia="Arial"/>
          <w:b/>
          <w:sz w:val="20"/>
          <w:szCs w:val="20"/>
        </w:rPr>
      </w:pPr>
      <w:r w:rsidRPr="00022886">
        <w:rPr>
          <w:rFonts w:eastAsia="Arial"/>
          <w:b/>
          <w:sz w:val="20"/>
          <w:szCs w:val="20"/>
        </w:rPr>
        <w:t xml:space="preserve">Information Technology Resources </w:t>
      </w:r>
    </w:p>
    <w:p w:rsidR="00A95688" w:rsidRDefault="00A95688" w:rsidP="00A95688">
      <w:pPr>
        <w:spacing w:line="259" w:lineRule="auto"/>
        <w:ind w:right="90"/>
        <w:jc w:val="both"/>
        <w:rPr>
          <w:b/>
          <w:sz w:val="20"/>
          <w:szCs w:val="20"/>
        </w:rPr>
      </w:pPr>
    </w:p>
    <w:p w:rsidR="00A95688" w:rsidRDefault="00A95688" w:rsidP="00A95688">
      <w:pPr>
        <w:jc w:val="both"/>
        <w:rPr>
          <w:sz w:val="20"/>
          <w:szCs w:val="20"/>
        </w:rPr>
      </w:pPr>
      <w:r w:rsidRPr="00F9515D">
        <w:rPr>
          <w:sz w:val="20"/>
          <w:szCs w:val="20"/>
        </w:rPr>
        <w:t xml:space="preserve">St. Edward’s University of Austin, Texas invites applications for the position of IT Service Support Associate. The IT Service Support Associate is responsible for providing advanced-level desktop support, technical leadership, and general IT </w:t>
      </w:r>
      <w:r>
        <w:rPr>
          <w:sz w:val="20"/>
          <w:szCs w:val="20"/>
        </w:rPr>
        <w:t xml:space="preserve">client computing services to a user base of non-technical and technical users in a diverse university environment. In addition, this role provides peer-to-peer mentoring to student employees. </w:t>
      </w:r>
    </w:p>
    <w:p w:rsidR="00A95688" w:rsidRDefault="00A95688" w:rsidP="00A95688">
      <w:pPr>
        <w:jc w:val="both"/>
        <w:rPr>
          <w:sz w:val="20"/>
          <w:szCs w:val="20"/>
        </w:rPr>
      </w:pPr>
    </w:p>
    <w:p w:rsidR="00A95688" w:rsidRDefault="00A95688" w:rsidP="00A95688">
      <w:pPr>
        <w:jc w:val="both"/>
        <w:rPr>
          <w:sz w:val="20"/>
          <w:szCs w:val="20"/>
        </w:rPr>
      </w:pPr>
      <w:r>
        <w:rPr>
          <w:sz w:val="20"/>
          <w:szCs w:val="20"/>
        </w:rPr>
        <w:t>For consideration, m</w:t>
      </w:r>
      <w:r w:rsidRPr="00145914">
        <w:rPr>
          <w:sz w:val="20"/>
          <w:szCs w:val="20"/>
        </w:rPr>
        <w:t>inimum qualifications include some college and work experience.</w:t>
      </w:r>
      <w:r>
        <w:rPr>
          <w:sz w:val="20"/>
          <w:szCs w:val="20"/>
        </w:rPr>
        <w:t xml:space="preserve"> Bachelor </w:t>
      </w:r>
      <w:r w:rsidRPr="00B74895">
        <w:rPr>
          <w:sz w:val="20"/>
          <w:szCs w:val="20"/>
        </w:rPr>
        <w:t>degree preferred but not required. Minimum of two years of experience supporting desktops/laptops in a professional environment. Higher education experience is preferred.</w:t>
      </w:r>
    </w:p>
    <w:p w:rsidR="00A95688" w:rsidRDefault="00A95688" w:rsidP="00A95688">
      <w:pPr>
        <w:jc w:val="both"/>
        <w:rPr>
          <w:sz w:val="20"/>
          <w:szCs w:val="20"/>
        </w:rPr>
      </w:pPr>
    </w:p>
    <w:p w:rsidR="00A95688" w:rsidRPr="00F22A16" w:rsidRDefault="00A95688" w:rsidP="00A95688">
      <w:pPr>
        <w:jc w:val="both"/>
        <w:rPr>
          <w:b/>
          <w:caps/>
          <w:sz w:val="20"/>
          <w:szCs w:val="20"/>
        </w:rPr>
      </w:pPr>
      <w:r w:rsidRPr="00F22A16">
        <w:rPr>
          <w:b/>
          <w:caps/>
          <w:sz w:val="20"/>
          <w:szCs w:val="20"/>
        </w:rPr>
        <w:t xml:space="preserve">Essential Responsibilities </w:t>
      </w:r>
    </w:p>
    <w:p w:rsidR="00A95688" w:rsidRDefault="00A95688" w:rsidP="00A95688">
      <w:pPr>
        <w:jc w:val="both"/>
        <w:rPr>
          <w:sz w:val="20"/>
          <w:szCs w:val="20"/>
        </w:rPr>
      </w:pPr>
    </w:p>
    <w:p w:rsidR="00A95688" w:rsidRDefault="00A95688" w:rsidP="00A95688">
      <w:pPr>
        <w:jc w:val="both"/>
        <w:rPr>
          <w:sz w:val="20"/>
          <w:szCs w:val="20"/>
        </w:rPr>
      </w:pPr>
      <w:r w:rsidRPr="00F22A16">
        <w:rPr>
          <w:sz w:val="20"/>
          <w:szCs w:val="20"/>
        </w:rPr>
        <w:t>The following examples are intended as illustrations only of the various types of duties and responsibilities assigned to the IT Service Support Associate position.</w:t>
      </w:r>
    </w:p>
    <w:p w:rsidR="00A95688" w:rsidRDefault="00A95688" w:rsidP="00A95688">
      <w:pPr>
        <w:jc w:val="both"/>
        <w:rPr>
          <w:sz w:val="20"/>
          <w:szCs w:val="20"/>
        </w:rPr>
      </w:pPr>
    </w:p>
    <w:p w:rsidR="00A95688" w:rsidRPr="00BA5A22" w:rsidRDefault="00A95688" w:rsidP="00A95688">
      <w:pPr>
        <w:rPr>
          <w:color w:val="000000"/>
          <w:sz w:val="20"/>
          <w:szCs w:val="20"/>
        </w:rPr>
      </w:pPr>
      <w:r w:rsidRPr="00BA5A22">
        <w:rPr>
          <w:color w:val="000000"/>
          <w:sz w:val="20"/>
          <w:szCs w:val="20"/>
        </w:rPr>
        <w:t>Technical Skills</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Skilled in the installation, configuration and support of Desktop core services</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Windows and macOS system management</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Windows and macOS core applications</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OS Troubleshooting and Optimization</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Windows Server system and application management</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Active Directory Management &amp; Integrations</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Intune and Azure configuration management</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Mobile Integration Services.</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Anti-Malware/Virus Enterprise Service.</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Image Deployment, Maintenance, and Management</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Manages case lifecycle from initiation through completion</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Provides coordination with secondary support if necessary and closes incidents when problems are resolved to clients' satisfaction.</w:t>
      </w:r>
    </w:p>
    <w:p w:rsidR="00A95688" w:rsidRPr="00BA5A22" w:rsidRDefault="00A95688" w:rsidP="00A95688">
      <w:pPr>
        <w:pStyle w:val="ListParagraph"/>
        <w:numPr>
          <w:ilvl w:val="0"/>
          <w:numId w:val="3"/>
        </w:numPr>
        <w:rPr>
          <w:color w:val="000000"/>
          <w:sz w:val="20"/>
          <w:szCs w:val="20"/>
        </w:rPr>
      </w:pPr>
      <w:r w:rsidRPr="00BA5A22">
        <w:rPr>
          <w:color w:val="000000"/>
          <w:sz w:val="20"/>
          <w:szCs w:val="20"/>
        </w:rPr>
        <w:t>Provide technical support for audio/video in learning spaces and conference rooms.</w:t>
      </w:r>
    </w:p>
    <w:p w:rsidR="00A95688" w:rsidRPr="00BA5A22" w:rsidRDefault="00A95688" w:rsidP="00A95688">
      <w:pPr>
        <w:rPr>
          <w:color w:val="000000"/>
          <w:sz w:val="20"/>
          <w:szCs w:val="20"/>
        </w:rPr>
      </w:pPr>
    </w:p>
    <w:p w:rsidR="00A95688" w:rsidRPr="00BA5A22" w:rsidRDefault="00A95688" w:rsidP="00A95688">
      <w:pPr>
        <w:rPr>
          <w:color w:val="000000"/>
          <w:sz w:val="20"/>
          <w:szCs w:val="20"/>
        </w:rPr>
      </w:pPr>
      <w:r w:rsidRPr="00BA5A22">
        <w:rPr>
          <w:color w:val="000000"/>
          <w:sz w:val="20"/>
          <w:szCs w:val="20"/>
        </w:rPr>
        <w:t>Customer Service Skills</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Provides good customer service.</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Anticipates clients' needs and respond in an appropriate and timely manner.</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Develops strong trusting relationship with clients.</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Communicates the status of issues with clients, team members and upper management.</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Regularly communicates with clients regarding problems and/or issues.</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Works with clients through the life cycle of the purchase, installation, and maintenance of computer and other related equipment and systems.</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Answers questions regarding the use and configuration of systems.</w:t>
      </w:r>
    </w:p>
    <w:p w:rsidR="00A95688" w:rsidRPr="00BA5A22" w:rsidRDefault="00A95688" w:rsidP="00A95688">
      <w:pPr>
        <w:pStyle w:val="ListParagraph"/>
        <w:numPr>
          <w:ilvl w:val="0"/>
          <w:numId w:val="2"/>
        </w:numPr>
        <w:rPr>
          <w:color w:val="000000"/>
          <w:sz w:val="20"/>
          <w:szCs w:val="20"/>
        </w:rPr>
      </w:pPr>
      <w:r w:rsidRPr="00BA5A22">
        <w:rPr>
          <w:color w:val="000000"/>
          <w:sz w:val="20"/>
          <w:szCs w:val="20"/>
        </w:rPr>
        <w:t>Troubleshoots and resolves problems efficiently and in a timely manner which may require working beyond the normally scheduled work hours.</w:t>
      </w:r>
    </w:p>
    <w:p w:rsidR="00A95688" w:rsidRPr="00BA5A22" w:rsidRDefault="00A95688" w:rsidP="00A95688">
      <w:pPr>
        <w:rPr>
          <w:color w:val="000000"/>
          <w:sz w:val="20"/>
          <w:szCs w:val="20"/>
        </w:rPr>
      </w:pPr>
    </w:p>
    <w:p w:rsidR="00A95688" w:rsidRPr="00BA5A22" w:rsidRDefault="00A95688" w:rsidP="00A95688">
      <w:pPr>
        <w:rPr>
          <w:color w:val="000000"/>
          <w:sz w:val="20"/>
          <w:szCs w:val="20"/>
        </w:rPr>
      </w:pPr>
      <w:r w:rsidRPr="00BA5A22">
        <w:rPr>
          <w:color w:val="000000"/>
          <w:sz w:val="20"/>
          <w:szCs w:val="20"/>
        </w:rPr>
        <w:t>Process / System improvement</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Takes initiative to learn the latest updates, service packs and/or operating versions.</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Manages and/or resolves clients' information technology problems and issues:</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Monitors appropriate queue for incidents assigned.</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Communicates with superiors regarding issues and problems in the field.</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Works with clients to recommend training when applicable.</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Develop knowledge articles for internal and public consumption</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Develops materials utilizing a variety of media.</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Remains current on information technology issues related to an academic environment</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lastRenderedPageBreak/>
        <w:t>and provides information and assistance to clients with new information technology acquisitions.</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Reads IT related publications (print or Web delivered).</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Evaluates new or new versions of technology and assist clients with new information technology acquisitions.</w:t>
      </w:r>
    </w:p>
    <w:p w:rsidR="00A95688" w:rsidRPr="00BA5A22" w:rsidRDefault="00A95688" w:rsidP="00A95688">
      <w:pPr>
        <w:pStyle w:val="ListParagraph"/>
        <w:numPr>
          <w:ilvl w:val="0"/>
          <w:numId w:val="1"/>
        </w:numPr>
        <w:rPr>
          <w:color w:val="000000"/>
          <w:sz w:val="20"/>
          <w:szCs w:val="20"/>
        </w:rPr>
      </w:pPr>
      <w:r w:rsidRPr="00BA5A22">
        <w:rPr>
          <w:color w:val="000000"/>
          <w:sz w:val="20"/>
          <w:szCs w:val="20"/>
        </w:rPr>
        <w:t>Performs miscellaneous job-related duties as assigned.</w:t>
      </w:r>
    </w:p>
    <w:p w:rsidR="00A95688" w:rsidRDefault="00A95688" w:rsidP="00A95688">
      <w:pPr>
        <w:rPr>
          <w:b/>
          <w:i/>
          <w:color w:val="C00000"/>
          <w:sz w:val="20"/>
          <w:szCs w:val="20"/>
        </w:rPr>
      </w:pPr>
    </w:p>
    <w:p w:rsidR="00A95688" w:rsidRDefault="00A95688" w:rsidP="00A95688">
      <w:pPr>
        <w:rPr>
          <w:sz w:val="20"/>
          <w:szCs w:val="20"/>
        </w:rPr>
      </w:pPr>
      <w:r>
        <w:rPr>
          <w:b/>
          <w:i/>
          <w:color w:val="C00000"/>
          <w:sz w:val="20"/>
          <w:szCs w:val="20"/>
        </w:rPr>
        <w:t>For detailed information, please scroll to the bottom of the page to download the job description.</w:t>
      </w:r>
    </w:p>
    <w:p w:rsidR="00A95688" w:rsidRDefault="00A95688" w:rsidP="00A95688">
      <w:pPr>
        <w:jc w:val="both"/>
        <w:rPr>
          <w:b/>
          <w:color w:val="000000"/>
          <w:sz w:val="20"/>
          <w:szCs w:val="20"/>
        </w:rPr>
      </w:pPr>
    </w:p>
    <w:p w:rsidR="00A95688" w:rsidRDefault="00A95688" w:rsidP="00A95688">
      <w:pPr>
        <w:jc w:val="both"/>
        <w:rPr>
          <w:b/>
          <w:color w:val="000000"/>
          <w:sz w:val="20"/>
          <w:szCs w:val="20"/>
        </w:rPr>
      </w:pPr>
      <w:r>
        <w:rPr>
          <w:b/>
          <w:color w:val="000000"/>
          <w:sz w:val="20"/>
          <w:szCs w:val="20"/>
        </w:rPr>
        <w:t xml:space="preserve">The University offers an excellent TOTAL REWARDS package! </w:t>
      </w:r>
    </w:p>
    <w:p w:rsidR="00A95688" w:rsidRDefault="00A95688" w:rsidP="00A95688">
      <w:pPr>
        <w:jc w:val="both"/>
        <w:rPr>
          <w:b/>
          <w:color w:val="000000"/>
          <w:sz w:val="20"/>
          <w:szCs w:val="20"/>
        </w:rPr>
      </w:pPr>
      <w:r>
        <w:rPr>
          <w:b/>
          <w:color w:val="000000"/>
          <w:sz w:val="20"/>
          <w:szCs w:val="20"/>
        </w:rPr>
        <w:t xml:space="preserve"> </w:t>
      </w:r>
    </w:p>
    <w:p w:rsidR="00A95688" w:rsidRDefault="00A95688" w:rsidP="00A95688">
      <w:pPr>
        <w:jc w:val="both"/>
        <w:rPr>
          <w:i/>
          <w:color w:val="000000"/>
          <w:sz w:val="20"/>
          <w:szCs w:val="20"/>
        </w:rPr>
      </w:pPr>
      <w:r>
        <w:rPr>
          <w:i/>
          <w:color w:val="000000"/>
          <w:sz w:val="20"/>
          <w:szCs w:val="20"/>
        </w:rPr>
        <w:t>Medical &amp; Rx Coverage – UMR (HSA &amp; FSA Available)</w:t>
      </w:r>
    </w:p>
    <w:p w:rsidR="00A95688" w:rsidRDefault="00A95688" w:rsidP="00A95688">
      <w:pPr>
        <w:jc w:val="both"/>
        <w:rPr>
          <w:i/>
          <w:color w:val="000000"/>
          <w:sz w:val="20"/>
          <w:szCs w:val="20"/>
        </w:rPr>
      </w:pPr>
      <w:r>
        <w:rPr>
          <w:i/>
          <w:color w:val="000000"/>
          <w:sz w:val="20"/>
          <w:szCs w:val="20"/>
        </w:rPr>
        <w:t>Dental – Sunlife Dental</w:t>
      </w:r>
    </w:p>
    <w:p w:rsidR="00A95688" w:rsidRDefault="00A95688" w:rsidP="00A95688">
      <w:pPr>
        <w:jc w:val="both"/>
        <w:rPr>
          <w:i/>
          <w:color w:val="000000"/>
          <w:sz w:val="20"/>
          <w:szCs w:val="20"/>
        </w:rPr>
      </w:pPr>
      <w:r>
        <w:rPr>
          <w:i/>
          <w:color w:val="000000"/>
          <w:sz w:val="20"/>
          <w:szCs w:val="20"/>
        </w:rPr>
        <w:t>Vision – Sunlife Vision Plan</w:t>
      </w:r>
    </w:p>
    <w:p w:rsidR="00A95688" w:rsidRDefault="00A95688" w:rsidP="00A95688">
      <w:pPr>
        <w:jc w:val="both"/>
        <w:rPr>
          <w:i/>
          <w:color w:val="000000"/>
          <w:sz w:val="20"/>
          <w:szCs w:val="20"/>
        </w:rPr>
      </w:pPr>
      <w:r>
        <w:rPr>
          <w:i/>
          <w:color w:val="000000"/>
          <w:sz w:val="20"/>
          <w:szCs w:val="20"/>
        </w:rPr>
        <w:t xml:space="preserve">Short Term Disability (STD) Insurance </w:t>
      </w:r>
    </w:p>
    <w:p w:rsidR="00A95688" w:rsidRDefault="00A95688" w:rsidP="00A95688">
      <w:pPr>
        <w:jc w:val="both"/>
        <w:rPr>
          <w:i/>
          <w:color w:val="000000"/>
          <w:sz w:val="20"/>
          <w:szCs w:val="20"/>
        </w:rPr>
      </w:pPr>
      <w:r>
        <w:rPr>
          <w:i/>
          <w:color w:val="000000"/>
          <w:sz w:val="20"/>
          <w:szCs w:val="20"/>
        </w:rPr>
        <w:t xml:space="preserve">Long Term Disability (LTD) Insurance </w:t>
      </w:r>
    </w:p>
    <w:p w:rsidR="00A95688" w:rsidRDefault="00A95688" w:rsidP="00A95688">
      <w:pPr>
        <w:jc w:val="both"/>
        <w:rPr>
          <w:i/>
          <w:color w:val="000000"/>
          <w:sz w:val="20"/>
          <w:szCs w:val="20"/>
        </w:rPr>
      </w:pPr>
      <w:r>
        <w:rPr>
          <w:i/>
          <w:color w:val="000000"/>
          <w:sz w:val="20"/>
          <w:szCs w:val="20"/>
        </w:rPr>
        <w:t>Life &amp; Accidental Death &amp; Dismemberment (AD&amp;D) Insurance</w:t>
      </w:r>
    </w:p>
    <w:p w:rsidR="00A95688" w:rsidRDefault="00A95688" w:rsidP="00A95688">
      <w:pPr>
        <w:jc w:val="both"/>
        <w:rPr>
          <w:i/>
          <w:color w:val="000000"/>
          <w:sz w:val="20"/>
          <w:szCs w:val="20"/>
        </w:rPr>
      </w:pPr>
      <w:r>
        <w:rPr>
          <w:i/>
          <w:color w:val="000000"/>
          <w:sz w:val="20"/>
          <w:szCs w:val="20"/>
        </w:rPr>
        <w:t>Employee Assistance Program (EAP)</w:t>
      </w:r>
    </w:p>
    <w:p w:rsidR="00A95688" w:rsidRDefault="00A95688" w:rsidP="00A95688">
      <w:pPr>
        <w:jc w:val="both"/>
        <w:rPr>
          <w:i/>
          <w:color w:val="000000"/>
          <w:sz w:val="20"/>
          <w:szCs w:val="20"/>
        </w:rPr>
      </w:pPr>
      <w:r>
        <w:rPr>
          <w:i/>
          <w:color w:val="000000"/>
          <w:sz w:val="20"/>
          <w:szCs w:val="20"/>
        </w:rPr>
        <w:t>Pet Insurance</w:t>
      </w:r>
    </w:p>
    <w:p w:rsidR="00A95688" w:rsidRDefault="00A95688" w:rsidP="00A95688">
      <w:pPr>
        <w:jc w:val="both"/>
        <w:rPr>
          <w:i/>
          <w:color w:val="000000"/>
          <w:sz w:val="20"/>
          <w:szCs w:val="20"/>
        </w:rPr>
      </w:pPr>
      <w:r>
        <w:rPr>
          <w:i/>
          <w:color w:val="000000"/>
          <w:sz w:val="20"/>
          <w:szCs w:val="20"/>
        </w:rPr>
        <w:t>Annual Leave &amp; Paid Sick Leave</w:t>
      </w:r>
    </w:p>
    <w:p w:rsidR="00A95688" w:rsidRDefault="00A95688" w:rsidP="00A95688">
      <w:pPr>
        <w:jc w:val="both"/>
        <w:rPr>
          <w:i/>
          <w:color w:val="000000"/>
          <w:sz w:val="20"/>
          <w:szCs w:val="20"/>
        </w:rPr>
      </w:pPr>
      <w:r>
        <w:rPr>
          <w:i/>
          <w:color w:val="000000"/>
          <w:sz w:val="20"/>
          <w:szCs w:val="20"/>
        </w:rPr>
        <w:t>Retirement Plan – (TIAA) Employee 5%/Employer Match 7%</w:t>
      </w:r>
    </w:p>
    <w:p w:rsidR="00A95688" w:rsidRDefault="00A95688" w:rsidP="00A95688">
      <w:pPr>
        <w:jc w:val="both"/>
        <w:rPr>
          <w:i/>
          <w:color w:val="000000"/>
          <w:sz w:val="20"/>
          <w:szCs w:val="20"/>
        </w:rPr>
      </w:pPr>
      <w:r>
        <w:rPr>
          <w:i/>
          <w:color w:val="000000"/>
          <w:sz w:val="20"/>
          <w:szCs w:val="20"/>
        </w:rPr>
        <w:t>Tuition Benefits</w:t>
      </w:r>
    </w:p>
    <w:p w:rsidR="00A95688" w:rsidRDefault="00A95688" w:rsidP="00A95688">
      <w:pPr>
        <w:jc w:val="both"/>
        <w:rPr>
          <w:i/>
          <w:color w:val="000000"/>
          <w:sz w:val="20"/>
          <w:szCs w:val="20"/>
        </w:rPr>
      </w:pPr>
      <w:r>
        <w:rPr>
          <w:i/>
          <w:color w:val="000000"/>
          <w:sz w:val="20"/>
          <w:szCs w:val="20"/>
        </w:rPr>
        <w:t>Paid Holidays</w:t>
      </w:r>
    </w:p>
    <w:p w:rsidR="00A95688" w:rsidRDefault="00A95688" w:rsidP="00A95688">
      <w:pPr>
        <w:jc w:val="both"/>
        <w:rPr>
          <w:i/>
          <w:sz w:val="20"/>
          <w:szCs w:val="20"/>
        </w:rPr>
      </w:pPr>
      <w:r>
        <w:rPr>
          <w:i/>
          <w:color w:val="000000"/>
          <w:sz w:val="20"/>
          <w:szCs w:val="20"/>
        </w:rPr>
        <w:t>Services &amp; Discounts</w:t>
      </w:r>
    </w:p>
    <w:p w:rsidR="00A95688" w:rsidRDefault="00A95688" w:rsidP="00A95688">
      <w:pPr>
        <w:spacing w:before="280" w:after="280"/>
        <w:jc w:val="both"/>
        <w:rPr>
          <w:b/>
          <w:i/>
          <w:sz w:val="20"/>
          <w:szCs w:val="20"/>
        </w:rPr>
      </w:pPr>
      <w:r>
        <w:rPr>
          <w:b/>
          <w:i/>
          <w:sz w:val="20"/>
          <w:szCs w:val="20"/>
        </w:rPr>
        <w:t>An overview of St. Edward's University employee benefits is available at; </w:t>
      </w:r>
      <w:hyperlink r:id="rId7">
        <w:r>
          <w:rPr>
            <w:b/>
            <w:i/>
            <w:sz w:val="20"/>
            <w:szCs w:val="20"/>
            <w:u w:val="single"/>
          </w:rPr>
          <w:t>https://www.stedwards.edu/human-resources/benefits-summary</w:t>
        </w:r>
      </w:hyperlink>
    </w:p>
    <w:p w:rsidR="00A95688" w:rsidRPr="00F9515D" w:rsidRDefault="00A95688" w:rsidP="00A95688">
      <w:pPr>
        <w:spacing w:before="280" w:after="280"/>
        <w:jc w:val="both"/>
        <w:rPr>
          <w:b/>
          <w:i/>
          <w:sz w:val="20"/>
          <w:szCs w:val="20"/>
        </w:rPr>
      </w:pPr>
      <w:r>
        <w:rPr>
          <w:b/>
          <w:color w:val="000000"/>
          <w:sz w:val="20"/>
          <w:szCs w:val="20"/>
        </w:rPr>
        <w:t>HOW TO APPLY</w:t>
      </w:r>
    </w:p>
    <w:p w:rsidR="00A95688" w:rsidRDefault="00A95688" w:rsidP="00A95688">
      <w:pPr>
        <w:pBdr>
          <w:top w:val="nil"/>
          <w:left w:val="nil"/>
          <w:bottom w:val="nil"/>
          <w:right w:val="nil"/>
          <w:between w:val="nil"/>
        </w:pBdr>
        <w:spacing w:before="280" w:after="280"/>
        <w:jc w:val="both"/>
        <w:rPr>
          <w:color w:val="000000"/>
          <w:sz w:val="20"/>
          <w:szCs w:val="20"/>
        </w:rPr>
      </w:pPr>
      <w:r>
        <w:rPr>
          <w:color w:val="000000"/>
          <w:sz w:val="20"/>
          <w:szCs w:val="20"/>
        </w:rPr>
        <w:t xml:space="preserve">Interested applicants should submit an online application at; </w:t>
      </w:r>
      <w:hyperlink r:id="rId8">
        <w:r>
          <w:rPr>
            <w:color w:val="0000FF"/>
            <w:sz w:val="20"/>
            <w:szCs w:val="20"/>
            <w:u w:val="single"/>
          </w:rPr>
          <w:t>https://stedwards.applicantpro.com</w:t>
        </w:r>
      </w:hyperlink>
      <w:r>
        <w:rPr>
          <w:color w:val="000000"/>
          <w:sz w:val="20"/>
          <w:szCs w:val="20"/>
        </w:rPr>
        <w:t xml:space="preserve">. Please include </w:t>
      </w:r>
      <w:r>
        <w:rPr>
          <w:b/>
          <w:i/>
          <w:color w:val="C00000"/>
          <w:sz w:val="20"/>
          <w:szCs w:val="20"/>
        </w:rPr>
        <w:t>resume, cover letter, and three employment references</w:t>
      </w:r>
      <w:r>
        <w:rPr>
          <w:color w:val="C00000"/>
          <w:sz w:val="20"/>
          <w:szCs w:val="20"/>
        </w:rPr>
        <w:t>.</w:t>
      </w:r>
      <w:r>
        <w:rPr>
          <w:color w:val="E36C09"/>
          <w:sz w:val="20"/>
          <w:szCs w:val="20"/>
        </w:rPr>
        <w:t xml:space="preserve"> </w:t>
      </w:r>
      <w:r>
        <w:rPr>
          <w:color w:val="000000"/>
          <w:sz w:val="20"/>
          <w:szCs w:val="20"/>
        </w:rPr>
        <w:t>No Calls Please.  Applications will not be considered if it is missing any of these three items.</w:t>
      </w:r>
    </w:p>
    <w:p w:rsidR="00A95688" w:rsidRDefault="00A95688" w:rsidP="00A95688">
      <w:pPr>
        <w:pBdr>
          <w:top w:val="nil"/>
          <w:left w:val="nil"/>
          <w:bottom w:val="nil"/>
          <w:right w:val="nil"/>
          <w:between w:val="nil"/>
        </w:pBdr>
        <w:spacing w:before="280" w:after="280"/>
        <w:jc w:val="both"/>
        <w:rPr>
          <w:i/>
          <w:color w:val="C00000"/>
          <w:sz w:val="20"/>
          <w:szCs w:val="20"/>
        </w:rPr>
      </w:pPr>
      <w:r>
        <w:rPr>
          <w:b/>
          <w:i/>
          <w:color w:val="C00000"/>
          <w:sz w:val="20"/>
          <w:szCs w:val="20"/>
        </w:rPr>
        <w:t>In your cover letter, please describe your lived experiences that prepare you to contribute to diversity and inclusion at St. Edward's University.</w:t>
      </w:r>
    </w:p>
    <w:p w:rsidR="00A95688" w:rsidRDefault="00A95688" w:rsidP="00A95688">
      <w:pPr>
        <w:pBdr>
          <w:top w:val="nil"/>
          <w:left w:val="nil"/>
          <w:bottom w:val="nil"/>
          <w:right w:val="nil"/>
          <w:between w:val="nil"/>
        </w:pBdr>
        <w:spacing w:before="280" w:after="280"/>
        <w:jc w:val="both"/>
        <w:rPr>
          <w:color w:val="000000"/>
          <w:sz w:val="20"/>
          <w:szCs w:val="20"/>
        </w:rPr>
      </w:pPr>
      <w:r>
        <w:rPr>
          <w:b/>
          <w:color w:val="000000"/>
          <w:sz w:val="20"/>
          <w:szCs w:val="20"/>
        </w:rPr>
        <w:t xml:space="preserve">EQUAL OPPORTUNITY EMPLOYER: </w:t>
      </w:r>
    </w:p>
    <w:p w:rsidR="00A95688" w:rsidRDefault="00A95688" w:rsidP="00A95688">
      <w:pPr>
        <w:pBdr>
          <w:top w:val="nil"/>
          <w:left w:val="nil"/>
          <w:bottom w:val="nil"/>
          <w:right w:val="nil"/>
          <w:between w:val="nil"/>
        </w:pBdr>
        <w:shd w:val="clear" w:color="auto" w:fill="FFFFFF"/>
        <w:spacing w:before="280" w:after="280"/>
        <w:jc w:val="both"/>
        <w:rPr>
          <w:b/>
          <w:color w:val="000000"/>
          <w:sz w:val="20"/>
          <w:szCs w:val="20"/>
        </w:rPr>
      </w:pPr>
      <w:r>
        <w:rPr>
          <w:color w:val="000000"/>
          <w:sz w:val="20"/>
          <w:szCs w:val="20"/>
        </w:rPr>
        <w:t>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w:t>
      </w:r>
    </w:p>
    <w:p w:rsidR="00A95688" w:rsidRDefault="00A95688" w:rsidP="00A95688">
      <w:pPr>
        <w:pBdr>
          <w:top w:val="nil"/>
          <w:left w:val="nil"/>
          <w:bottom w:val="nil"/>
          <w:right w:val="nil"/>
          <w:between w:val="nil"/>
        </w:pBdr>
        <w:spacing w:before="280" w:after="280"/>
        <w:jc w:val="both"/>
        <w:rPr>
          <w:color w:val="000000"/>
          <w:sz w:val="20"/>
          <w:szCs w:val="20"/>
        </w:rPr>
      </w:pPr>
      <w:r>
        <w:rPr>
          <w:b/>
          <w:color w:val="000000"/>
          <w:sz w:val="20"/>
          <w:szCs w:val="20"/>
        </w:rPr>
        <w:t>ABOUT ST. EDWARD'S UNIVERSITY</w:t>
      </w:r>
    </w:p>
    <w:p w:rsidR="00A95688" w:rsidRDefault="00A95688" w:rsidP="00A95688">
      <w:pPr>
        <w:pBdr>
          <w:top w:val="nil"/>
          <w:left w:val="nil"/>
          <w:bottom w:val="nil"/>
          <w:right w:val="nil"/>
          <w:between w:val="nil"/>
        </w:pBdr>
        <w:spacing w:before="280" w:after="280"/>
        <w:jc w:val="both"/>
        <w:rPr>
          <w:color w:val="000000"/>
          <w:sz w:val="20"/>
          <w:szCs w:val="20"/>
        </w:rPr>
      </w:pPr>
      <w:r>
        <w:rPr>
          <w:color w:val="000000"/>
          <w:sz w:val="20"/>
          <w:szCs w:val="20"/>
        </w:rPr>
        <w:t xml:space="preserve">Founded in 1885 by the Congregation of Holy Cross, St. Edward's University is a private, Catholic liberal arts institution of more than 4,600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for students.  </w:t>
      </w:r>
    </w:p>
    <w:p w:rsidR="00A95688" w:rsidRDefault="00A95688" w:rsidP="00A95688">
      <w:pPr>
        <w:pBdr>
          <w:top w:val="nil"/>
          <w:left w:val="nil"/>
          <w:bottom w:val="nil"/>
          <w:right w:val="nil"/>
          <w:between w:val="nil"/>
        </w:pBdr>
        <w:jc w:val="both"/>
        <w:rPr>
          <w:color w:val="000000"/>
          <w:sz w:val="20"/>
          <w:szCs w:val="20"/>
        </w:rPr>
      </w:pPr>
      <w:r>
        <w:rPr>
          <w:b/>
          <w:color w:val="000000"/>
          <w:sz w:val="20"/>
          <w:szCs w:val="20"/>
        </w:rPr>
        <w:t>Sponsorship:</w:t>
      </w:r>
    </w:p>
    <w:p w:rsidR="00A95688" w:rsidRDefault="00A95688" w:rsidP="00A95688">
      <w:pPr>
        <w:pBdr>
          <w:top w:val="nil"/>
          <w:left w:val="nil"/>
          <w:bottom w:val="nil"/>
          <w:right w:val="nil"/>
          <w:between w:val="nil"/>
        </w:pBdr>
        <w:jc w:val="both"/>
        <w:rPr>
          <w:color w:val="000000"/>
          <w:sz w:val="20"/>
          <w:szCs w:val="20"/>
        </w:rPr>
      </w:pPr>
      <w:r>
        <w:rPr>
          <w:color w:val="000000"/>
          <w:sz w:val="20"/>
          <w:szCs w:val="20"/>
        </w:rPr>
        <w:t>We are not offering sponsorship at this time.</w:t>
      </w:r>
    </w:p>
    <w:p w:rsidR="00A95688" w:rsidRDefault="00A95688" w:rsidP="00A95688">
      <w:pPr>
        <w:pBdr>
          <w:top w:val="nil"/>
          <w:left w:val="nil"/>
          <w:bottom w:val="nil"/>
          <w:right w:val="nil"/>
          <w:between w:val="nil"/>
        </w:pBdr>
        <w:jc w:val="both"/>
        <w:rPr>
          <w:color w:val="000000"/>
          <w:sz w:val="20"/>
          <w:szCs w:val="20"/>
        </w:rPr>
      </w:pPr>
    </w:p>
    <w:p w:rsidR="00A95688" w:rsidRDefault="00A95688" w:rsidP="00A95688">
      <w:pPr>
        <w:pBdr>
          <w:top w:val="nil"/>
          <w:left w:val="nil"/>
          <w:bottom w:val="nil"/>
          <w:right w:val="nil"/>
          <w:between w:val="nil"/>
        </w:pBdr>
        <w:jc w:val="both"/>
        <w:rPr>
          <w:color w:val="000000"/>
          <w:sz w:val="20"/>
          <w:szCs w:val="20"/>
        </w:rPr>
      </w:pPr>
      <w:r>
        <w:rPr>
          <w:b/>
          <w:color w:val="000000"/>
          <w:sz w:val="20"/>
          <w:szCs w:val="20"/>
        </w:rPr>
        <w:t xml:space="preserve">Background Checks: </w:t>
      </w:r>
    </w:p>
    <w:p w:rsidR="00A95688" w:rsidRDefault="00A95688" w:rsidP="00A95688">
      <w:pPr>
        <w:pBdr>
          <w:top w:val="nil"/>
          <w:left w:val="nil"/>
          <w:bottom w:val="nil"/>
          <w:right w:val="nil"/>
          <w:between w:val="nil"/>
        </w:pBdr>
        <w:jc w:val="both"/>
        <w:rPr>
          <w:color w:val="000000"/>
          <w:sz w:val="20"/>
          <w:szCs w:val="20"/>
        </w:rPr>
      </w:pPr>
      <w:r>
        <w:rPr>
          <w:color w:val="000000"/>
          <w:sz w:val="20"/>
          <w:szCs w:val="20"/>
        </w:rPr>
        <w:t xml:space="preserve">A criminal history background check is required for finalist(s) under consideration for this position. </w:t>
      </w:r>
    </w:p>
    <w:p w:rsidR="00A95688" w:rsidRDefault="00A95688" w:rsidP="00A95688">
      <w:pPr>
        <w:pBdr>
          <w:top w:val="nil"/>
          <w:left w:val="nil"/>
          <w:bottom w:val="nil"/>
          <w:right w:val="nil"/>
          <w:between w:val="nil"/>
        </w:pBdr>
        <w:jc w:val="both"/>
        <w:rPr>
          <w:color w:val="000000"/>
          <w:sz w:val="20"/>
          <w:szCs w:val="20"/>
        </w:rPr>
      </w:pPr>
      <w:r>
        <w:rPr>
          <w:color w:val="000000"/>
          <w:sz w:val="20"/>
          <w:szCs w:val="20"/>
        </w:rPr>
        <w:t xml:space="preserve"> </w:t>
      </w:r>
    </w:p>
    <w:p w:rsidR="00A95688" w:rsidRPr="00BA5A22" w:rsidRDefault="00A95688" w:rsidP="00A95688">
      <w:pPr>
        <w:rPr>
          <w:sz w:val="20"/>
          <w:szCs w:val="20"/>
        </w:rPr>
      </w:pPr>
      <w:r>
        <w:rPr>
          <w:color w:val="000000"/>
          <w:sz w:val="20"/>
          <w:szCs w:val="20"/>
        </w:rPr>
        <w:lastRenderedPageBreak/>
        <w:t>Reference #: J202016951</w:t>
      </w:r>
      <w:r>
        <w:rPr>
          <w:color w:val="000000"/>
          <w:sz w:val="20"/>
          <w:szCs w:val="20"/>
        </w:rPr>
        <w:br/>
        <w:t xml:space="preserve">Available: Immediately </w:t>
      </w:r>
    </w:p>
    <w:p w:rsidR="00DC5E5A" w:rsidRDefault="00DC5E5A">
      <w:bookmarkStart w:id="1" w:name="_GoBack"/>
      <w:bookmarkEnd w:id="1"/>
    </w:p>
    <w:sectPr w:rsidR="00DC5E5A">
      <w:footerReference w:type="default" r:id="rId9"/>
      <w:pgSz w:w="11906" w:h="16838"/>
      <w:pgMar w:top="1440" w:right="1797" w:bottom="719"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3780"/>
      <w:docPartObj>
        <w:docPartGallery w:val="Page Numbers (Bottom of Page)"/>
        <w:docPartUnique/>
      </w:docPartObj>
    </w:sdtPr>
    <w:sdtEndPr>
      <w:rPr>
        <w:noProof/>
      </w:rPr>
    </w:sdtEndPr>
    <w:sdtContent>
      <w:p w:rsidR="00BA5A22" w:rsidRDefault="004B4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5A22" w:rsidRDefault="004B4DE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83B0F"/>
    <w:multiLevelType w:val="hybridMultilevel"/>
    <w:tmpl w:val="CBA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77265"/>
    <w:multiLevelType w:val="hybridMultilevel"/>
    <w:tmpl w:val="CD1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D4F3A"/>
    <w:multiLevelType w:val="hybridMultilevel"/>
    <w:tmpl w:val="5A7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88"/>
    <w:rsid w:val="004B4DE6"/>
    <w:rsid w:val="00A95688"/>
    <w:rsid w:val="00D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AA293-7BAE-4E68-A189-8AF45164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88"/>
    <w:pPr>
      <w:ind w:left="720"/>
      <w:contextualSpacing/>
    </w:pPr>
  </w:style>
  <w:style w:type="paragraph" w:styleId="Footer">
    <w:name w:val="footer"/>
    <w:basedOn w:val="Normal"/>
    <w:link w:val="FooterChar"/>
    <w:uiPriority w:val="99"/>
    <w:unhideWhenUsed/>
    <w:rsid w:val="00A95688"/>
    <w:pPr>
      <w:tabs>
        <w:tab w:val="center" w:pos="4680"/>
        <w:tab w:val="right" w:pos="9360"/>
      </w:tabs>
    </w:pPr>
  </w:style>
  <w:style w:type="character" w:customStyle="1" w:styleId="FooterChar">
    <w:name w:val="Footer Char"/>
    <w:basedOn w:val="DefaultParagraphFont"/>
    <w:link w:val="Footer"/>
    <w:uiPriority w:val="99"/>
    <w:rsid w:val="00A956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dwards.applicantpro.com" TargetMode="External"/><Relationship Id="rId3" Type="http://schemas.openxmlformats.org/officeDocument/2006/relationships/styles" Target="styles.xml"/><Relationship Id="rId7" Type="http://schemas.openxmlformats.org/officeDocument/2006/relationships/hyperlink" Target="https://www.stedwards.edu/human-resources/benefits-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C53A-156C-4177-8684-B0E1F378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 Yusuf</dc:creator>
  <cp:keywords/>
  <dc:description/>
  <cp:lastModifiedBy>Sahra Yusuf</cp:lastModifiedBy>
  <cp:revision>2</cp:revision>
  <dcterms:created xsi:type="dcterms:W3CDTF">2022-10-13T20:45:00Z</dcterms:created>
  <dcterms:modified xsi:type="dcterms:W3CDTF">2022-10-13T20:45:00Z</dcterms:modified>
</cp:coreProperties>
</file>